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/>
                <w:sz w:val="24"/>
                <w:szCs w:val="24"/>
              </w:rPr>
              <w:t>22.06.2020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/>
                <w:sz w:val="24"/>
                <w:szCs w:val="24"/>
              </w:rPr>
              <w:t>№ 1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CC2C49">
              <w:rPr>
                <w:rFonts w:ascii="Times New Roman CYR" w:hAnsi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/>
                <w:sz w:val="24"/>
                <w:szCs w:val="24"/>
              </w:rPr>
              <w:t>Чайковська Надія Миколаївна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"ВІННИЦЬКІ СПОРТТОВАРИ"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</w:t>
      </w:r>
      <w:r>
        <w:rPr>
          <w:rFonts w:ascii="Times New Roman CYR" w:hAnsi="Times New Roman CYR" w:cs="Times New Roman CYR"/>
          <w:sz w:val="24"/>
          <w:szCs w:val="24"/>
        </w:rPr>
        <w:t>иватне акціонерне товариство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21034, Вінницька обл., м. Вінниця, вул. Чехова, 25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13342529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0432271500, -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toot@vinnitsa.com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</w:t>
      </w:r>
      <w:r>
        <w:rPr>
          <w:rFonts w:ascii="Times New Roman CYR" w:hAnsi="Times New Roman CYR" w:cs="Times New Roman CYR"/>
          <w:sz w:val="24"/>
          <w:szCs w:val="24"/>
        </w:rPr>
        <w:t>ованої інформації від імені учасника фондового ринку (у разі здійснення оприлюднення):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</w:t>
      </w:r>
      <w:r>
        <w:rPr>
          <w:rFonts w:ascii="Times New Roman CYR" w:hAnsi="Times New Roman CYR" w:cs="Times New Roman CYR"/>
          <w:sz w:val="24"/>
          <w:szCs w:val="24"/>
        </w:rPr>
        <w:t>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</w:t>
      </w:r>
      <w:r>
        <w:rPr>
          <w:rFonts w:ascii="Times New Roman CYR" w:hAnsi="Times New Roman CYR" w:cs="Times New Roman CYR"/>
          <w:sz w:val="24"/>
          <w:szCs w:val="24"/>
        </w:rPr>
        <w:t>ого ринку безпосередньо):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</w:t>
            </w:r>
            <w:r w:rsidRPr="00CC2C49">
              <w:rPr>
                <w:rFonts w:ascii="Times New Roman CYR" w:hAnsi="Times New Roman CYR" w:cs="Times New Roman CYR"/>
                <w:sz w:val="24"/>
                <w:szCs w:val="24"/>
              </w:rPr>
              <w:t>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 w:cs="Times New Roman CYR"/>
                <w:sz w:val="24"/>
                <w:szCs w:val="24"/>
              </w:rPr>
              <w:t>http://vinsporttovari.pat.ua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C2C49">
              <w:rPr>
                <w:rFonts w:ascii="Times New Roman CYR" w:hAnsi="Times New Roman CYR" w:cs="Times New Roman CYR"/>
                <w:sz w:val="24"/>
                <w:szCs w:val="24"/>
              </w:rPr>
              <w:t>22.06.2020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акціонерів, яким належать голосуючі акції, розмір пакета як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их стає більшим, меншим або рівним пороговому значенню пакета акцій</w:t>
      </w:r>
    </w:p>
    <w:p w:rsidR="00000000" w:rsidRDefault="00CC2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000"/>
        <w:gridCol w:w="4500"/>
        <w:gridCol w:w="3700"/>
        <w:gridCol w:w="1600"/>
        <w:gridCol w:w="2200"/>
      </w:tblGrid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отримання інформації від  Центрального депозитарію цінних паперів або акціонера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 батькові фізичної особи або найменування юридичної особи власника (власників)</w:t>
            </w: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акцій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 юридичної особи - резидента або код/номер з торговельного, банківського чи судового реєстру, реєстраційного посвідчення місцевого органу влади іноземної держави про реєстрацію юридичної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</w:t>
            </w: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частки акціонера до зміни (у відсотках до статутного капіталу)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акціонера після зміни (у відсотках до статутного капіталу)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22.06.2020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Дорош Людмила Володимирівна.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27,96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отримання інформації- 22.06.2020 року ПРАТ "ВННИЦЬКІ СПОРТТОВАРИ" отримали від ПАТ "НДУ" реєстр власників іменних цінних паперів станом на 19.06.2020 року. 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1. Прізвище, ім'я, по батькові фізичної особи або найменування юридичної особи власника (власн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иків) акцій, яким належать голосуючі акції, розмір пакета яких стає більшим, меншим або рівним пороговому значенню пакета акцій- Дорош Людмила Володимирівна.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Дія (набуття або відчуження) та яким чином (прямо або опосередковано) вона відбувалась- пряме відчуження.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Розмір частки власника (власників) акцій в загальній кількості голосуючих акцій до відчуження -  804 шт. акцій, що становило 27,96% в загальній кілько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сті акцій та 29,45% в загальній кількості голосуючих акцій.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Розмір частки власника (власників) акцій в загальній кількості голосуючих акцій після відчуження права власності на такий пакет акцій (підсумковий пакет голосуючих акцій) 0 шт. акцій, що становить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 xml:space="preserve"> 0%  в загальній кількості акцій та 0% в загальній кількості голосуючих акцій.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Відомості про осіб (прізвище, ім'я, по батькові фізичної особи або найменування та ідентифікаційний код юридичної особи, відсоток прав голосу, якщо він дорівнює або перевищує по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 xml:space="preserve">рогове значення), які входять до ланцюга володіння корпоративними правами юридичної особи, через яких особа (особи, що діють спільно) здійснює(ють) розпорядження акціями - Мірошнікова Лариса Володимирівна, Мірошніков Сергій Олексійович, Мірошніков Михайло 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Сергійович.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Дата, в яку порогові значення було досягнуто або перетнуто (за наявності) - 26.05.2020 року.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22.06.2020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Мірошнікова Лариса Володимирівна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35,03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62,99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CC2C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отримання інформації- 22.06.2020 року ПРАТ "ВННИЦЬКІ СПОРТТОВАРИ" отримали від ПАТ "НДУ" реєстр власників іменних цінних паперів станом на 19.06.2020 року. 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Прізвище, ім'я, по батькові фізичної особи або найменування юридичної особи власника (власникі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в) акцій, яким належать голосуючі акції, розмір пакета яких стає більшим, меншим або рівним пороговому значенню пакета акцій- Мірошнікова Лариса Володимирівна.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Дія (набуття або відчужен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ня) та яким чином (прямо або опосередковано) вона відбувалась- пряме набуття.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Розмір частки власника (власників) акцій в загальній кількості голосуючих акцій до набуття -  1007 шт. акцій, що становило 35,03%  в загальній кількості акцій та 36,88% в загальн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ій кількості голосуючих акцій.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Розмір частки власника (власників) акцій в загальній кількості голосуючих акцій після набуття права власності на такий пакет акцій (підсумковий пакет голосуючих акцій) 1811 шт. акцій, що становить 62,99%  в загальній кількост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і акцій та 66,34% в загальній кількості голосуючих акцій.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Відомості про осіб (прізвище, ім'я, по батькові фізичної особи або найменування та ідентифікаційний код юридичної особи, відсоток прав голосу, якщо він дорівнює або перевищує порогове значення), які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 xml:space="preserve"> входять до ланцюга володіння корпоративними правами юридичної особи, через яких особа (особи, що діють спільно) здійснює(ють) 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розпорядження акціями - Мірошніков Сергій Олексійович, Мірошніков Михайло Сергійович.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Дата, в яку порогові значення було досягнут</w:t>
            </w:r>
            <w:r w:rsidRPr="00CC2C49">
              <w:rPr>
                <w:rFonts w:ascii="Times New Roman CYR" w:hAnsi="Times New Roman CYR" w:cs="Times New Roman CYR"/>
                <w:sz w:val="20"/>
                <w:szCs w:val="20"/>
              </w:rPr>
              <w:t>о або перетнуто (за наявності) - 26.05.2020 року.</w:t>
            </w:r>
          </w:p>
          <w:p w:rsidR="00000000" w:rsidRPr="00CC2C49" w:rsidRDefault="00CC2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CC2C49" w:rsidRDefault="00CC2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CC2C49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A05"/>
    <w:rsid w:val="00046C93"/>
    <w:rsid w:val="00CC2C49"/>
    <w:rsid w:val="00E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3997</Words>
  <Characters>2279</Characters>
  <Application>Microsoft Office Word</Application>
  <DocSecurity>0</DocSecurity>
  <Lines>18</Lines>
  <Paragraphs>12</Paragraphs>
  <ScaleCrop>false</ScaleCrop>
  <Company>Finasta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2020-06-22T13:20:00Z</dcterms:created>
  <dcterms:modified xsi:type="dcterms:W3CDTF">2020-06-22T13:20:00Z</dcterms:modified>
</cp:coreProperties>
</file>